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F82" w:rsidRPr="006E4F82" w:rsidRDefault="006E4F82" w:rsidP="006E4F82">
      <w:pPr>
        <w:shd w:val="clear" w:color="auto" w:fill="FFFFFF"/>
        <w:spacing w:after="630" w:line="840" w:lineRule="atLeast"/>
        <w:jc w:val="center"/>
        <w:outlineLvl w:val="0"/>
        <w:rPr>
          <w:rFonts w:ascii="Arial" w:eastAsia="Times New Roman" w:hAnsi="Arial" w:cs="Arial"/>
          <w:color w:val="000000"/>
          <w:spacing w:val="-3"/>
          <w:kern w:val="36"/>
          <w:sz w:val="66"/>
          <w:szCs w:val="66"/>
          <w:lang w:eastAsia="ru-RU"/>
        </w:rPr>
      </w:pPr>
      <w:r w:rsidRPr="006E4F82">
        <w:rPr>
          <w:rFonts w:ascii="Arial" w:eastAsia="Times New Roman" w:hAnsi="Arial" w:cs="Arial"/>
          <w:color w:val="000000"/>
          <w:spacing w:val="-3"/>
          <w:kern w:val="36"/>
          <w:sz w:val="66"/>
          <w:szCs w:val="66"/>
          <w:lang w:eastAsia="ru-RU"/>
        </w:rPr>
        <w:t xml:space="preserve">Материалы по </w:t>
      </w:r>
      <w:bookmarkStart w:id="0" w:name="_GoBack"/>
      <w:bookmarkEnd w:id="0"/>
      <w:r w:rsidRPr="006E4F82">
        <w:rPr>
          <w:rFonts w:ascii="Arial" w:eastAsia="Times New Roman" w:hAnsi="Arial" w:cs="Arial"/>
          <w:color w:val="000000"/>
          <w:spacing w:val="-3"/>
          <w:kern w:val="36"/>
          <w:sz w:val="66"/>
          <w:szCs w:val="66"/>
          <w:lang w:eastAsia="ru-RU"/>
        </w:rPr>
        <w:t>профилактике идеологии терроризма</w:t>
      </w:r>
    </w:p>
    <w:p w:rsidR="006E4F82" w:rsidRDefault="006E4F82" w:rsidP="006E4F82">
      <w:pPr>
        <w:jc w:val="center"/>
      </w:pPr>
      <w:proofErr w:type="gramStart"/>
      <w:r w:rsidRPr="006E4F82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>Выявление признаков террористического акта</w:t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hyperlink r:id="rId5" w:history="1">
        <w:r w:rsidRPr="006E4F82">
          <w:rPr>
            <w:rFonts w:ascii="Arial" w:eastAsia="Times New Roman" w:hAnsi="Arial" w:cs="Arial"/>
            <w:color w:val="3368C3"/>
            <w:sz w:val="27"/>
            <w:szCs w:val="27"/>
            <w:shd w:val="clear" w:color="auto" w:fill="FFFFFF"/>
            <w:lang w:eastAsia="ru-RU"/>
          </w:rPr>
          <w:t>скачать, .RTF, 55 KB</w:t>
        </w:r>
      </w:hyperlink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6E4F82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>Сборник сценариев II профилактических мероприятий</w:t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hyperlink r:id="rId6" w:history="1">
        <w:r w:rsidRPr="006E4F82">
          <w:rPr>
            <w:rFonts w:ascii="Arial" w:eastAsia="Times New Roman" w:hAnsi="Arial" w:cs="Arial"/>
            <w:color w:val="3368C3"/>
            <w:sz w:val="27"/>
            <w:szCs w:val="27"/>
            <w:shd w:val="clear" w:color="auto" w:fill="FFFFFF"/>
            <w:lang w:eastAsia="ru-RU"/>
          </w:rPr>
          <w:t>скачать, .PDF, 3 MB</w:t>
        </w:r>
      </w:hyperlink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6E4F82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 xml:space="preserve">АЛГОРИТМЫ действий персонала образовательной организации, работников частных охранных организаций и обучающихся при совершении (угрозе совершения) преступления в формах вооруженного нападения, размещения взрывного устройства, захвата заложников, а также информационного взаимодействия образовательных организаций с территориальными органами МВД России, </w:t>
      </w:r>
      <w:proofErr w:type="spellStart"/>
      <w:r w:rsidRPr="006E4F82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>Росгвардии</w:t>
      </w:r>
      <w:proofErr w:type="spellEnd"/>
      <w:r w:rsidRPr="006E4F82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 xml:space="preserve"> и ФСБ России</w:t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hyperlink r:id="rId7" w:history="1">
        <w:r w:rsidRPr="006E4F82">
          <w:rPr>
            <w:rFonts w:ascii="Arial" w:eastAsia="Times New Roman" w:hAnsi="Arial" w:cs="Arial"/>
            <w:color w:val="3368C3"/>
            <w:sz w:val="27"/>
            <w:szCs w:val="27"/>
            <w:shd w:val="clear" w:color="auto" w:fill="FFFFFF"/>
            <w:lang w:eastAsia="ru-RU"/>
          </w:rPr>
          <w:t>скачать, .PDF, 293</w:t>
        </w:r>
        <w:proofErr w:type="gramEnd"/>
        <w:r w:rsidRPr="006E4F82">
          <w:rPr>
            <w:rFonts w:ascii="Arial" w:eastAsia="Times New Roman" w:hAnsi="Arial" w:cs="Arial"/>
            <w:color w:val="3368C3"/>
            <w:sz w:val="27"/>
            <w:szCs w:val="27"/>
            <w:shd w:val="clear" w:color="auto" w:fill="FFFFFF"/>
            <w:lang w:eastAsia="ru-RU"/>
          </w:rPr>
          <w:t xml:space="preserve"> KB</w:t>
        </w:r>
      </w:hyperlink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6E4F82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>Алгоритмы безопасного поведения при угрозе террористического акта</w:t>
      </w:r>
      <w:r w:rsidRPr="006E4F82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B54E2FE" wp14:editId="32951067">
            <wp:extent cx="3543300" cy="4095750"/>
            <wp:effectExtent l="0" t="0" r="0" b="0"/>
            <wp:docPr id="1" name="Рисунок 1" descr="Полезные материалы для специа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зные материалы для специалист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47" cy="41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77" w:rsidRDefault="00945077"/>
    <w:p w:rsidR="006E4F82" w:rsidRDefault="006E4F82"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2" name="Рисунок 2" descr="Общие правила антитеррористическ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щие правила антитеррористическ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82" w:rsidRDefault="006E4F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Правила безопасного поведения в случае угрозы взры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безопасного поведения в случае угрозы взры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82"/>
    <w:rsid w:val="006E4F82"/>
    <w:rsid w:val="0094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4F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4F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6E4F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4F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4F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6E4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admoblkaluga.ru/upload/antiterror/materialy/algoritm-deistv.pdf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dmoblkaluga.ru/upload/antiterror/materialy/sbornik-scenariev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dmoblkaluga.ru/upload/antiterror/materialy/pamiatka-terrakt.rtf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2024-05-08T07:07:00Z</dcterms:created>
  <dcterms:modified xsi:type="dcterms:W3CDTF">2024-05-08T07:10:00Z</dcterms:modified>
</cp:coreProperties>
</file>